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D3" w:rsidRDefault="006329D3" w:rsidP="00907FB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6329D3">
        <w:rPr>
          <w:rFonts w:ascii="LiberationSerif" w:eastAsia="Times New Roman" w:hAnsi="LiberationSerif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325242" cy="8945880"/>
            <wp:effectExtent l="0" t="0" r="0" b="7620"/>
            <wp:docPr id="2" name="Рисунок 2" descr="E:\2023\программы 5 класс на сайт\титу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02" cy="89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FB9" w:rsidRPr="00907FB9" w:rsidRDefault="00907FB9" w:rsidP="00907FB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 К МОДУЛЮ «ДЕКОРАТИВНО-ПРИКЛАДНОЕ И НАРОДНОЕ ИСКУССТВО»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МОДУЛЯ «ДЕКОРАТИВНО-ПРИКЛАДНОЕ И НАРОДНОЕ ИСКУССТВО»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Для оценки качества образования кроме личностных и </w:t>
      </w:r>
      <w:proofErr w:type="spellStart"/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 ИЗУЧЕНИЯ МОДУЛЯ «ДЕКОРАТИВНО-ПРИКЛАДНОЕ И НАРОДНОЕ ИСКУССТВО»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 </w:t>
      </w: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модуля «Декоративно-прикладное и народное искусство» являются: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</w:t>
      </w: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07FB9" w:rsidRPr="00907FB9" w:rsidRDefault="00907FB9" w:rsidP="00907FB9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МЕСТО МОДУЛЯ «ДЕКОРАТИВНО-ПРИКЛАДНОЕ И НАРОДНОЕ ИСКУССТВО» В УЧЕБНОМ ПЛАНЕ</w:t>
      </w:r>
    </w:p>
    <w:p w:rsidR="00907FB9" w:rsidRPr="00907FB9" w:rsidRDefault="00907FB9" w:rsidP="00907FB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07FB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907FB9" w:rsidRDefault="00907FB9" w:rsidP="00907FB9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МОДУЛЯ «ДЕКОРАТИВНО-ПРИКЛАДНОЕ И НАРОДНОЕ ИСКУССТВО»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Общие сведения о декоративно-прикладном искусстве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Декоративно-прикладное искусство и его виды.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Декоративно-прикладное искусство и предметная среда жизни людей.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Древние корни народного искусства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Истоки образного языка декоративно-прикладного искусства.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Традиционные образы народного (крестьянского) прикладного искусства.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Связь народного искусства с природой, бытом, трудом, верованиями и эпосом.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Образно-символический язык народного прикладного искусства.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Знаки-символы традиционного крестьянского прикладного искусства.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Убранство русской избы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Конструкция избы, единство красоты и пользы — функционального и символического — в её постройке и украшении.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рисунков — эскизов орнаментального декора крестьянского дома.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Устройство внутреннего пространства крестьянского дома. Декоративные элементы жилой среды.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Народный праздничный костюм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Образный строй народного праздничного костюма — женского и мужского.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Разнообразие форм и украшений народного праздничного костюма для различных регионов страны.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рисунков традиционных праздничных костюмов, выражение в форме, цветовом решении, орнаментике кос</w:t>
      </w:r>
      <w:r>
        <w:rPr>
          <w:rFonts w:ascii="LiberationSerif" w:hAnsi="LiberationSerif"/>
          <w:color w:val="000000"/>
          <w:sz w:val="20"/>
          <w:szCs w:val="20"/>
        </w:rPr>
        <w:softHyphen/>
        <w:t>тюма черт национального своеобразия.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Народные праздники и праздничные обряды как синтез всех видов народного творчества.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Народные художественные промыслы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Многообразие видов традиционных ремёсел и происхождение художественных промыслов народов России.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филимоновской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дымковской,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каргопольской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игрушки. Местные промыслы игрушек разных регионов страны.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эскиза игрушки по мотивам избранного промысла.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Роспись по металлу.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Жостово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Мир сказок и легенд, примет и оберегов в творчестве мастеров художественных промыслов.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Отражение в изделиях народных промыслов многообразия исторических, духовных и культурных традиций.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Декоративно-прикладное искусство в культуре разных эпох и народов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Роль декоративно-прикладного искусства в культуре древних цивилизаций.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Украшение жизненного пространства: построений, интерьеров, предметов быта — в культуре разных эпох.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Декоративно-прикладное искусство в жизни современного человека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Символический знак в современной жизни: эмблема, логотип, указующий или декоративный знак.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Государственная символика и традиции геральдики.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Декоративные украшения предметов нашего быта и одежды.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Значение украшений в проявлении образа человека, его характера,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самопонимания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установок и намерений.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Декор на улицах и декор помещений.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Декор праздничный и повседневный.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Праздничное оформление школы.</w:t>
      </w:r>
    </w:p>
    <w:p w:rsidR="00907FB9" w:rsidRDefault="00907FB9" w:rsidP="00907FB9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ЛИЧНОСТНЫЕ РЕЗУЛЬТАТЫ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>
        <w:rPr>
          <w:rFonts w:ascii="LiberationSerif" w:hAnsi="LiberationSerif"/>
          <w:color w:val="000000"/>
          <w:sz w:val="20"/>
          <w:szCs w:val="20"/>
        </w:rPr>
        <w:softHyphen/>
        <w:t>деятельности.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1. Патриотическое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>
        <w:rPr>
          <w:rFonts w:ascii="LiberationSerif" w:hAnsi="LiberationSerif"/>
          <w:color w:val="000000"/>
          <w:sz w:val="20"/>
          <w:szCs w:val="20"/>
        </w:rPr>
        <w:softHyphen/>
        <w:t xml:space="preserve">духовной жизни, выраженной в произведениях искусства, </w:t>
      </w:r>
      <w:r>
        <w:rPr>
          <w:rFonts w:ascii="LiberationSerif" w:hAnsi="LiberationSerif"/>
          <w:color w:val="000000"/>
          <w:sz w:val="20"/>
          <w:szCs w:val="20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2. Гражданское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3. Духовно-нравственное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4. Эстетическое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Эстетическое (от греч.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aisthetikos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самореализующейся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5. Ценности познавательной деятельности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6. Экологическое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7. Трудовое воспитание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8. Воспитывающая предметно-эстетическая среда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МЕТАПРЕДМЕТНЫЕ РЕЗУЛЬТАТЫ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 Овладение универсальными познавательными действиями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Формирование пространственных представлений и сенсорных способностей: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предметные и пространственные объекты по заданным основаниям;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форму предмета, конструкции;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положение предметной формы в пространстве;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обобщать форму составной конструкции;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структуру предмета, конструкции, пространства, зрительного образа;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структурировать предметно-пространственные явления;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пропорциональное соотношение частей внутри целого и предметов между собой;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абстрагировать образ реальности в построении плоской или пространственной композиции.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логические и исследовательские действия: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явлений художественной культуры;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классифицировать произведения искусства по видам и, соответственно, по назначению в жизни людей;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ставить и использовать вопросы как исследовательский инструмент познания;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вести исследовательскую работу по сбору информационного материала по установленной или выбранной теме;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электронные образовательные ресурсы;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работать с электронными учебными пособиями и учебниками;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 Овладение универсальными коммуникативными действиями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эмпатии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опираясь на восприятие окружающих;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публично представлять и объяснять результаты своего </w:t>
      </w:r>
      <w:r>
        <w:rPr>
          <w:rFonts w:ascii="LiberationSerif" w:hAnsi="LiberationSerif"/>
          <w:color w:val="000000"/>
          <w:sz w:val="20"/>
          <w:szCs w:val="20"/>
        </w:rPr>
        <w:softHyphen/>
        <w:t>творческого, художественного или исследовательского опыта;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 Овладение универсальными регулятивными действиями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Самоконтроль: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владеть основами самоконтроля, рефлексии, самооценки на основе соответствующих целям критериев.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развивать способность управлять собственными эмоциями, стремиться к пониманию эмоций других;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межвозрастном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взаимодействии.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ПРЕДМЕТНЫЕ РЕЗУЛЬТАТЫ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>
        <w:rPr>
          <w:rFonts w:ascii="LiberationSerif" w:hAnsi="LiberationSerif"/>
          <w:color w:val="000000"/>
          <w:sz w:val="20"/>
          <w:szCs w:val="20"/>
        </w:rPr>
        <w:softHyphen/>
        <w:t>- лей животного мира, сказочных и мифологических персо</w:t>
      </w:r>
      <w:r>
        <w:rPr>
          <w:rFonts w:ascii="LiberationSerif" w:hAnsi="LiberationSerif"/>
          <w:color w:val="000000"/>
          <w:sz w:val="20"/>
          <w:szCs w:val="20"/>
        </w:rPr>
        <w:softHyphen/>
        <w:t>нажей с опорой на традиционные образы мирового искусства;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практический опыт изображения характерных традиционных предметов крестьянского быта;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>единство и целостность для каждой конкретной культуры, определяемые природными условиями и сложившийся историей;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значение народных промыслов и традиций художественного ремесла в современной жизни;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рассказывать о происхождении народных художественных промыслов; о соотношении ремесла и искусства;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характерные черты орнаментов и изделий ряда отечественных народных художественных промыслов;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древние образы народного искусства в произведениях современных народных промыслов;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изделия народных художественных промыслов по материалу изготовления и технике декора;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связь между материалом, формой и техникой декора в произведениях народных промыслов;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907FB9" w:rsidRDefault="00907FB9" w:rsidP="00907FB9">
      <w:pPr>
        <w:pStyle w:val="a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3217C9" w:rsidRDefault="003217C9"/>
    <w:sectPr w:rsidR="003217C9" w:rsidSect="003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B9"/>
    <w:rsid w:val="001B009E"/>
    <w:rsid w:val="002F2ED1"/>
    <w:rsid w:val="003217C9"/>
    <w:rsid w:val="006329D3"/>
    <w:rsid w:val="00891708"/>
    <w:rsid w:val="009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431"/>
  <w15:docId w15:val="{F4E8CEFB-3C45-407C-B184-ED38D27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C9"/>
  </w:style>
  <w:style w:type="paragraph" w:styleId="1">
    <w:name w:val="heading 1"/>
    <w:basedOn w:val="a"/>
    <w:link w:val="10"/>
    <w:uiPriority w:val="9"/>
    <w:qFormat/>
    <w:rsid w:val="0090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54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06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2022-09-15T10:13:00Z</dcterms:created>
  <dcterms:modified xsi:type="dcterms:W3CDTF">2022-09-15T10:13:00Z</dcterms:modified>
</cp:coreProperties>
</file>